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jc w:val="both"/>
      </w:pPr>
      <w:r/>
      <w:r/>
    </w:p>
    <w:p>
      <w:pPr>
        <w:pStyle w:val="683"/>
        <w:jc w:val="both"/>
      </w:pPr>
      <w:r/>
      <w:r/>
    </w:p>
    <w:p>
      <w:pPr>
        <w:pStyle w:val="683"/>
        <w:jc w:val="both"/>
      </w:pPr>
      <w:r/>
      <w:r/>
    </w:p>
    <w:p>
      <w:pPr>
        <w:pStyle w:val="683"/>
        <w:jc w:val="both"/>
      </w:pPr>
      <w:r/>
      <w:r/>
    </w:p>
    <w:p>
      <w:pPr>
        <w:pStyle w:val="683"/>
        <w:jc w:val="both"/>
      </w:pPr>
      <w:r/>
      <w:r/>
    </w:p>
    <w:p>
      <w:pPr>
        <w:pStyle w:val="683"/>
        <w:jc w:val="both"/>
      </w:pPr>
      <w:r/>
      <w:r/>
    </w:p>
    <w:p>
      <w:pPr>
        <w:pStyle w:val="683"/>
        <w:jc w:val="both"/>
      </w:pPr>
      <w:r/>
      <w:r/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Положения о департаменте промышленности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tooltip="https://login.consultant.ru/link/?req=doc&amp;base=RLAW426&amp;n=85289&amp;dst=5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27.06.2012 </w:t>
      </w:r>
      <w:r>
        <w:rPr>
          <w:rFonts w:ascii="Times New Roman" w:hAnsi="Times New Roman" w:cs="Times New Roman"/>
          <w:sz w:val="28"/>
          <w:szCs w:val="28"/>
        </w:rPr>
        <w:t xml:space="preserve">№ 79-ОЗ «</w:t>
      </w:r>
      <w:r>
        <w:rPr>
          <w:rFonts w:ascii="Times New Roman" w:hAnsi="Times New Roman" w:cs="Times New Roman"/>
          <w:sz w:val="28"/>
          <w:szCs w:val="28"/>
        </w:rPr>
        <w:t xml:space="preserve">О правительстве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tooltip="#P70" w:anchor="P70" w:history="1">
        <w:r>
          <w:rPr>
            <w:rFonts w:ascii="Times New Roman" w:hAnsi="Times New Roman" w:cs="Times New Roman"/>
            <w:sz w:val="28"/>
            <w:szCs w:val="28"/>
          </w:rPr>
          <w:t xml:space="preserve"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департаменте промышленности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предельную численность департамента промышленности правительства Еврейской автономной области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 человек, замещающих должности государственной гражданской службы Еврейской автономной области, и 1 человека, замещающего государственную должность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Разрешить начальнику департамента промышленности правительства Еврейской автономной области иметь </w:t>
      </w:r>
      <w:r>
        <w:rPr>
          <w:rFonts w:ascii="Times New Roman" w:hAnsi="Times New Roman" w:cs="Times New Roman"/>
          <w:sz w:val="28"/>
          <w:szCs w:val="28"/>
        </w:rPr>
        <w:t xml:space="preserve">одного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689"/>
          <w:rFonts w:ascii="Times New Roman" w:hAnsi="Times New Roman" w:cs="Times New Roman"/>
          <w:color w:val="000000"/>
          <w:sz w:val="28"/>
          <w:szCs w:val="28"/>
        </w:rPr>
        <w:t xml:space="preserve">назначаемого на должность и освобождаемого от должности губернатором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Разрешить департаменту промышленности правительства Еврейской автономной области образовывать коллегию для рассмотрения вопросов, входящих в его компетенцию.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подписания, но не ранее 10 марта 2025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области                                                  И.О. </w:t>
      </w:r>
      <w:r>
        <w:rPr>
          <w:rFonts w:ascii="Times New Roman" w:hAnsi="Times New Roman" w:cs="Times New Roman"/>
          <w:sz w:val="28"/>
          <w:szCs w:val="28"/>
        </w:rPr>
        <w:t xml:space="preserve">Чагаев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70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ДЕПАРТАМЕНТЕ ПРОМЫШЛЕННОСТИ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Департамент промышленности правительства Еврейск</w:t>
      </w:r>
      <w:r>
        <w:rPr>
          <w:rFonts w:ascii="Times New Roman" w:hAnsi="Times New Roman" w:cs="Times New Roman"/>
          <w:sz w:val="28"/>
          <w:szCs w:val="28"/>
        </w:rPr>
        <w:t xml:space="preserve">ой автономной области (далее - департамент промышленности) является органом исполнительной власти, формируемым правительством Еврейской автономной области (далее - область), осуществляющим реализацию государственной политики в сфере промышленности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 осуществлении своих функций департамент промышленности взаимодействует в пределах своей компетенции с Министерством промышленности и торговли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ерации, </w:t>
      </w:r>
      <w:r>
        <w:rPr>
          <w:rFonts w:ascii="Times New Roman" w:hAnsi="Times New Roman" w:cs="Times New Roman"/>
          <w:sz w:val="28"/>
          <w:szCs w:val="28"/>
        </w:rPr>
        <w:t xml:space="preserve">иными федеральными органами исполнительной влас</w:t>
      </w:r>
      <w:r>
        <w:rPr>
          <w:rFonts w:ascii="Times New Roman" w:hAnsi="Times New Roman" w:cs="Times New Roman"/>
          <w:sz w:val="28"/>
          <w:szCs w:val="28"/>
        </w:rPr>
        <w:t xml:space="preserve">ти и их территориальными органами, с органами исполнительной власти области, формируемыми правительством области, структурными подразделениями аппарата губернатора и правительства области, органами местного самоуправления муниципальных образований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Департамент промышленности в своей деятельности руководствуется международными договорами, </w:t>
      </w:r>
      <w:hyperlink r:id="rId11" w:tooltip="https://login.consultant.ru/link/?req=doc&amp;base=LAW&amp;n=2875" w:history="1">
        <w:r>
          <w:rPr>
            <w:rFonts w:ascii="Times New Roman" w:hAnsi="Times New Roman" w:cs="Times New Roman"/>
            <w:sz w:val="28"/>
            <w:szCs w:val="28"/>
          </w:rPr>
          <w:t xml:space="preserve"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</w:t>
      </w:r>
      <w:r>
        <w:rPr>
          <w:rFonts w:ascii="Times New Roman" w:hAnsi="Times New Roman" w:cs="Times New Roman"/>
          <w:sz w:val="28"/>
          <w:szCs w:val="28"/>
        </w:rPr>
        <w:t xml:space="preserve">ными законами, федеральными законами, нормативными правовыми актами Президента Российской Федерации, Правительства Российской Федерации, Министерства промышленности и торговли Российской Федерации, иными нормативными правовыми актами Российской Федерации, </w:t>
      </w:r>
      <w:hyperlink r:id="rId12" w:tooltip="https://login.consultant.ru/link/?req=doc&amp;base=RLAW426&amp;n=87099" w:history="1">
        <w:r>
          <w:rPr>
            <w:rFonts w:ascii="Times New Roman" w:hAnsi="Times New Roman" w:cs="Times New Roman"/>
            <w:sz w:val="28"/>
            <w:szCs w:val="28"/>
          </w:rPr>
          <w:t xml:space="preserve"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области и законами области, нормативными правовыми актами губернатора и правительства области, а также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Департамент промышленности является юридическим лицом, имеет самостоятельный баланс, печать с изображением Государственного герба Российской Федерации,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етствующие штампы и бланки со своим наименованием, лицевой счет, открытый в Управлении Федерального казначейства по Еврейской автономной области, и иные счета, открываемые в соответствии с законодательством Российской Федерации и законодательством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Имущество департамента промышленности является государственной собственностью области и закрепляется за 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 на праве оперативного 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Финансирование деятельности департамента промышленности осуществляется в пределах средств, выделяемых из областного бюджета на его содержание.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Местонахождение департамента промышленности: 679016, Еврейская автономная область, г. Биробиджан, ул. Трансформаторная, 3а.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Основные задачи департамента промышленности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департамента промышленности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 Создание и развитие современной промышленной инфраструктуры, инфраструктуры поддержки деятельности в сфере промышленности;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2.2. Стимулирование субъектов промышленной деятельности осуществлять внедрение результатов интеллектуальной деятельности и освоение производства инновационной промышленной продукции;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2.3. Стимулирование субъекто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промышленной деятельности рационально и эффективно использовать материальные, финансовые, трудовые и природные ресурсы, обеспечивать повышение производительности труда, внедрение импортозамещающих, ресурсосберегающих и экологически безопасных технологий;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2.4. Содействие субъектам промышленной деятельности в межрегиональном и международном сотрудничестве;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2.5. Поддержка технологического перевооружения субъектов промышленной деятельности, модернизация основных производственных фондов исходя из темпов, опережающих их старение;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оздание условий для подготовки квалифицированных работников в количестве, удовлетворяющем текущим и перспективным потребностям региона;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ные задачи, определенные Федеральным законом.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Полномочия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промышленности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промышленности осуществляет следующие полномочия: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Осуществляет разработку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законов области в сфере промышленной политики, в том числе устанавливающих меры стимулирования деятельности в сфере промышленности в области, 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также порядок их предоставления.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Осуществляет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онтроль за исполнением законов област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в сфере промышленной политики.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87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Обеспеч</w:t>
      </w:r>
      <w:r>
        <w:rPr>
          <w:color w:val="000000"/>
          <w:sz w:val="28"/>
          <w:szCs w:val="28"/>
        </w:rPr>
        <w:t xml:space="preserve">ивает взаимодействия исполнительных органов государственной власти области и органов местного самоуправления муниципальных образований области, субъектов, осуществляющих деятельность в сфере промышленности, и организаций, входящих в состав инфраструктуры п</w:t>
      </w:r>
      <w:r>
        <w:rPr>
          <w:color w:val="000000"/>
          <w:sz w:val="28"/>
          <w:szCs w:val="28"/>
        </w:rPr>
        <w:t xml:space="preserve">оддержки указанной деятельности.</w:t>
      </w:r>
      <w:r>
        <w:rPr>
          <w:sz w:val="28"/>
          <w:szCs w:val="28"/>
        </w:rPr>
      </w:r>
    </w:p>
    <w:p>
      <w:pPr>
        <w:pStyle w:val="687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Предоставляет оператору государственной информационной системы промышленности информации, включаемой в эту информационную систему и не являющейся информацией, доступ к которой ограниче</w:t>
      </w:r>
      <w:r>
        <w:rPr>
          <w:color w:val="000000"/>
          <w:sz w:val="28"/>
          <w:szCs w:val="28"/>
        </w:rPr>
        <w:t xml:space="preserve">н федеральными законами.</w:t>
      </w:r>
      <w:r>
        <w:rPr>
          <w:sz w:val="28"/>
          <w:szCs w:val="28"/>
        </w:rPr>
      </w:r>
    </w:p>
    <w:p>
      <w:pPr>
        <w:pStyle w:val="687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Осуществляет информационно-консультационную поддержку в сфере р</w:t>
      </w:r>
      <w:r>
        <w:rPr>
          <w:color w:val="000000"/>
          <w:sz w:val="28"/>
          <w:szCs w:val="28"/>
        </w:rPr>
        <w:t xml:space="preserve">еализации промышленной политики.</w:t>
      </w:r>
      <w:r>
        <w:rPr>
          <w:sz w:val="28"/>
          <w:szCs w:val="28"/>
        </w:rPr>
      </w:r>
    </w:p>
    <w:p>
      <w:pPr>
        <w:pStyle w:val="687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>
        <w:rPr>
          <w:color w:val="000000"/>
          <w:sz w:val="28"/>
          <w:szCs w:val="28"/>
        </w:rPr>
        <w:t xml:space="preserve">Разрабатывает государственные программы развития промышленности на территории области и осуществляет контроль за их реализацией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7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Обеспечивает ведение реестра субъектов промышленной деятельности, к которы</w:t>
      </w:r>
      <w:r>
        <w:rPr>
          <w:color w:val="000000"/>
          <w:sz w:val="28"/>
          <w:szCs w:val="28"/>
        </w:rPr>
        <w:t xml:space="preserve">м применены меры стимулирования.</w:t>
      </w:r>
      <w:r>
        <w:rPr>
          <w:sz w:val="28"/>
          <w:szCs w:val="28"/>
        </w:rPr>
      </w:r>
    </w:p>
    <w:p>
      <w:pPr>
        <w:pStyle w:val="687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>
        <w:rPr>
          <w:color w:val="000000"/>
          <w:sz w:val="28"/>
          <w:szCs w:val="28"/>
        </w:rPr>
        <w:t xml:space="preserve">Осуществляет предоставление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</w:t>
      </w:r>
      <w:r>
        <w:rPr>
          <w:color w:val="000000"/>
          <w:sz w:val="28"/>
          <w:szCs w:val="28"/>
        </w:rPr>
        <w:t xml:space="preserve"> стимулировани</w:t>
      </w:r>
      <w:r>
        <w:rPr>
          <w:color w:val="000000"/>
          <w:sz w:val="28"/>
          <w:szCs w:val="28"/>
        </w:rPr>
        <w:t xml:space="preserve">я субъектам деятельности в сфере промышленности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7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>
        <w:rPr>
          <w:color w:val="000000"/>
          <w:sz w:val="28"/>
          <w:szCs w:val="28"/>
        </w:rPr>
        <w:t xml:space="preserve">Осуществляет полномочия главного распорядителя и получателя средств областного бюджета, предусмотренных на содержание департамента промышленности и реализацию возложенных </w:t>
      </w:r>
      <w:r>
        <w:rPr>
          <w:color w:val="000000"/>
          <w:sz w:val="28"/>
          <w:szCs w:val="28"/>
        </w:rPr>
        <w:t xml:space="preserve">на него полномочий.</w:t>
      </w:r>
      <w:r>
        <w:rPr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Осуществляет полномочия главного администратора доходов областного бюджета в соответствии с законодательством Российской Федерации и законодательством области в порядке, установленном правительством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1. Организует рассмотрение предложений, заявлений и жалоб граждан по вопросам, входящим в его компетенцию, и принятие по ним необходимых мер в установленном порядке;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2. Осуществляет организационно-методическую помощь уполномоченным органам органов местного самоуправления муниципальных образований области в сфере промышленности;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 Разрабатывает предложения по формированию инвестиционной политики в сфере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области, организует реа</w:t>
      </w:r>
      <w:r>
        <w:rPr>
          <w:rFonts w:ascii="Times New Roman" w:hAnsi="Times New Roman" w:cs="Times New Roman"/>
          <w:sz w:val="28"/>
          <w:szCs w:val="28"/>
        </w:rPr>
        <w:t xml:space="preserve">лизацию инвестиционных проектов;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полномочия в области мобилизационной подготовки и мобилизации в соответствии с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и законодательством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</w:t>
      </w:r>
      <w:r>
        <w:rPr>
          <w:rFonts w:ascii="Times New Roman" w:hAnsi="Times New Roman" w:cs="Times New Roman"/>
          <w:sz w:val="28"/>
          <w:szCs w:val="28"/>
        </w:rPr>
        <w:t xml:space="preserve">. Организует выполнение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области мероприятий в сфере гражданской обороны, предупреждения и ликвидации последствий чрезвычайных ситуаций, вызванных авариями, ката</w:t>
      </w:r>
      <w:r>
        <w:rPr>
          <w:rFonts w:ascii="Times New Roman" w:hAnsi="Times New Roman" w:cs="Times New Roman"/>
          <w:sz w:val="28"/>
          <w:szCs w:val="28"/>
        </w:rPr>
        <w:t xml:space="preserve">строфами, стихийными бедствиями;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по вопросам обеспечения противодействия коррупции.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 Является уполномоченным органом исполнительной власти области, осуществляющим контроль за соблюдением субъектами, которым оказывается государственная поддержка развития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области, условий ее предоставления.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5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 Оказывает содействие развитию конкуренции </w:t>
      </w:r>
      <w:r>
        <w:rPr>
          <w:rFonts w:ascii="Times New Roman" w:hAnsi="Times New Roman" w:cs="Times New Roman"/>
          <w:sz w:val="28"/>
          <w:szCs w:val="28"/>
        </w:rPr>
        <w:t xml:space="preserve">на рынках легкой промышленности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обработки древесины и производства изделий из дерева;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19. Осуществляет иные полномочия в сфере промышленной политики в области, предусмотренных федеральными законами.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0. Проводит комплексный экономический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анализ состояния и тенденций развития в курируемых отраслях промышленности, выявляет в пределах компетенции причины и условия, способствующие изменениям экономических и финансовых параметров функционирования субъектов деятельности в сферах промышленности.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Осуществляет разработку и корректировку прогнозов социально-экономического развития курируемых отраслей промышленности на среднесрочный и долгосрочный периоды.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Осуществляет мониторинг социально-экономического развития курируемых отраслей промышленности.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 Проводит в порядке, установленном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равительством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процедуру оценки регулирующего воздействия в отношении проектов законов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поправок к проектам законов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проектов иных нормативных правовых актов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процедуру оценки фактического воздейст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вия нормативных правовых актов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Осуществляет взаимодействие с уполномоченным исполнительным органом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ответственным за внедрение процедуры оценки регулирующего воздействия, при подготовке мнения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равительства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 проведении оценки регулирующего воздействия, разработанного федеральным органом исполнительной власти проекта нормативного правового акта, затрагивающего вопросы, отнесенные к компетенции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департамента промышленности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Представляет интересы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правительства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Министерстве промышленности и торговли Российской Федерации и других федеральных органах исполнительной власти по вопросам, относящимся к компетенции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департамента промышленности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Участвует в пределах компетенции в реализации государственной инновационной политики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курируемых отраслях промышленности.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5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Формирует совместно с субъектами деятельности в сфере промышленности прогноз потребности экономики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профессиональных кадрах с учетом перспектив развития курируемых отраслей промышленности, подготовки и реализации инвестиционных проектов на территории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83"/>
        <w:ind w:firstLine="55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3.28.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сфере промышленности в пределах своей компетенции, предусмотренные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и законодательством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4. Права департамента промышленности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промышленности имеет право: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Издавать приказы, в том числе носящие нормативный характер, по вопросам, относящимся к его компетенции.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Запрашивать и получать в установленном порядке от органов исполнительной вл</w:t>
      </w:r>
      <w:r>
        <w:rPr>
          <w:rFonts w:ascii="Times New Roman" w:hAnsi="Times New Roman" w:cs="Times New Roman"/>
          <w:sz w:val="28"/>
          <w:szCs w:val="28"/>
        </w:rPr>
        <w:t xml:space="preserve">асти, формируемых правительством области, органов местного самоуправления муниципальных образований области, организаций, учреждений и предприятий независимо от их организационно-правовых форм сведения и материалы, необходимые для выполнения своих функций.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Привлекать для разработки проектов, планов меропри</w:t>
      </w:r>
      <w:r>
        <w:rPr>
          <w:rFonts w:ascii="Times New Roman" w:hAnsi="Times New Roman" w:cs="Times New Roman"/>
          <w:sz w:val="28"/>
          <w:szCs w:val="28"/>
        </w:rPr>
        <w:t xml:space="preserve">ятий и решения других вопросов, входящих в его компетенцию, научно-исследовательские и проектные институты, высшие учебные заведения и другие учреждения и организации, а также отдельных ученых и специалистов в пределах средств, предусмотренных на эти цели.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Формировать рабочие группы для решения проблемных вопросов, входящих в его компетенцию.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Разрабатывать методические материалы и рекомендации по вопросам, входящим в его компетенцию.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Проводить совещания, конференции, семинары и другие мероприятия для рассмотрения вопросов, входящих в его компетенцию.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Осуществлять разработку и внесение в установленном порядке на рассмотрение губернатора и правительства области проектов законов области, иных нормативных правовых актов области и других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Заключать в соответствии с законодательством Российской Федерации и законодательством области договоры (контракты), соглашения.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</w:t>
      </w:r>
      <w:r>
        <w:rPr>
          <w:rFonts w:ascii="Times New Roman" w:hAnsi="Times New Roman" w:cs="Times New Roman"/>
          <w:sz w:val="28"/>
          <w:szCs w:val="28"/>
        </w:rPr>
        <w:t xml:space="preserve">. Осуществлять иные права в пределах своей компетенции и в соответствии с законодательством Российской Федерации и законодательством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 Руководство департамента промышленн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Департамент промышленности возглавляет начальник, назначаемый на должность и освобождаемый от нее губернатором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Начальник департамента промышленности имеет </w:t>
      </w:r>
      <w:r>
        <w:rPr>
          <w:rFonts w:ascii="Times New Roman" w:hAnsi="Times New Roman" w:cs="Times New Roman"/>
          <w:sz w:val="28"/>
          <w:szCs w:val="28"/>
        </w:rPr>
        <w:t xml:space="preserve">одного заместителя, который назначае</w:t>
      </w:r>
      <w:r>
        <w:rPr>
          <w:rFonts w:ascii="Times New Roman" w:hAnsi="Times New Roman" w:cs="Times New Roman"/>
          <w:sz w:val="28"/>
          <w:szCs w:val="28"/>
        </w:rPr>
        <w:t xml:space="preserve">тся на должность и освобождаются от нее губернатором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Началь</w:t>
      </w:r>
      <w:r>
        <w:rPr>
          <w:rFonts w:ascii="Times New Roman" w:hAnsi="Times New Roman" w:cs="Times New Roman"/>
          <w:sz w:val="28"/>
          <w:szCs w:val="28"/>
        </w:rPr>
        <w:t xml:space="preserve">ник департамента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учетом прав, предоставленных ему настоящим Положением, несет персональную ответственность за выполнение задач и функций, возложенных на департамент промышленности;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распределяет обязанности между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руководителями структурных подразделений департамента промышленности;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назначает на должность и освобождает от нее работников департамента промышленности в установленном порядке;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</w:t>
      </w:r>
      <w:r>
        <w:rPr>
          <w:rFonts w:ascii="Times New Roman" w:hAnsi="Times New Roman" w:cs="Times New Roman"/>
          <w:sz w:val="28"/>
          <w:szCs w:val="28"/>
        </w:rPr>
        <w:t xml:space="preserve">штатное расписание департамента промышленности в пределах установленной правительством области численности и годового фонда оплаты труда, а также смету расходов на содержание департамента промышленности в пределах ассигнований, предусмотренных на эти цели;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о внесении изменений и дополнений в настоящее Положение;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положения о структурных подразделениях департамента промышленности и должностные регламенты (должностные инструкции) государственных гражданских служащих и работников департамента промышленности;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права и обязанности работодателя в отношении государственных гражданских служащих и иных работников департамента промышленности;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контролирует исполнение планов работы департамента промышленности;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заключает договоры (контракты), соглашения, выдает доверенности, открывает и закрыв</w:t>
      </w:r>
      <w:r>
        <w:rPr>
          <w:rFonts w:ascii="Times New Roman" w:hAnsi="Times New Roman" w:cs="Times New Roman"/>
          <w:sz w:val="28"/>
          <w:szCs w:val="28"/>
        </w:rPr>
        <w:t xml:space="preserve">ает текущие бюджетные и иные счета в соответствии с законодательством Российской Федерации и законодательством области, совершает по ним операции, подписывает банковские и иные финансовые документы, издает приказы, в том числе носящие нормативный характер;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 без доверенности департамент промышленности в отношениях с федеральными органами исполнительной власти и с их тер</w:t>
      </w:r>
      <w:r>
        <w:rPr>
          <w:rFonts w:ascii="Times New Roman" w:hAnsi="Times New Roman" w:cs="Times New Roman"/>
          <w:sz w:val="28"/>
          <w:szCs w:val="28"/>
        </w:rPr>
        <w:t xml:space="preserve">риториальными органами, органами государственной власти области, органами местного самоуправления муниципальных образований области, организациями независимо от их организационно-правовой формы и гражданами, а также в судебных органах, выдает доверенности;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соблюдение законодательства об охране труда;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 в правительство области в установленном порядке предлож</w:t>
      </w:r>
      <w:r>
        <w:rPr>
          <w:rFonts w:ascii="Times New Roman" w:hAnsi="Times New Roman" w:cs="Times New Roman"/>
          <w:sz w:val="28"/>
          <w:szCs w:val="28"/>
        </w:rPr>
        <w:t xml:space="preserve">ения о создании, реорганизации и ликвидации областных государственных учреждений, функции и полномочия учредителя которых осуществляет департамент промышленности, или областных государственных предприятий, находящихся в ведении департамента промышленности;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мобилизационную подготовку департамента промышленности и контролирует ее осуществление;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соответствии с законодательством Российской Федерации и законодательством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отсутствия начальника департамента промышленности его обязанности исполняет заместитель начальника департамента промышленности, который без доверенности дей</w:t>
      </w:r>
      <w:r>
        <w:rPr>
          <w:rFonts w:ascii="Times New Roman" w:hAnsi="Times New Roman" w:cs="Times New Roman"/>
          <w:sz w:val="28"/>
          <w:szCs w:val="28"/>
        </w:rPr>
        <w:t xml:space="preserve">ствует от имени департамента промышленности, представляет его интересы, заключает договоры (контракты), соглашения, выдает доверенности, имеет право подписи на банковских документах, а также право издавать приказы, в том числе носящие нормативный характер.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49709090"/>
      <w:docPartObj>
        <w:docPartGallery w:val="Page Numbers (Top of Page)"/>
        <w:docPartUnique w:val="true"/>
      </w:docPartObj>
      <w:rPr/>
    </w:sdtPr>
    <w:sdtContent>
      <w:p>
        <w:pPr>
          <w:pStyle w:val="69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92"/>
    <w:uiPriority w:val="99"/>
  </w:style>
  <w:style w:type="character" w:styleId="45">
    <w:name w:val="Footer Char"/>
    <w:basedOn w:val="680"/>
    <w:link w:val="694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</w:style>
  <w:style w:type="table" w:styleId="4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84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85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86" w:customStyle="1">
    <w:name w:val="docdata"/>
    <w:basedOn w:val="67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7">
    <w:name w:val="Normal (Web)"/>
    <w:basedOn w:val="67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8">
    <w:name w:val="Hyperlink"/>
    <w:basedOn w:val="680"/>
    <w:uiPriority w:val="99"/>
    <w:semiHidden/>
    <w:unhideWhenUsed/>
    <w:rPr>
      <w:color w:val="0000ff"/>
      <w:u w:val="single"/>
    </w:rPr>
  </w:style>
  <w:style w:type="character" w:styleId="689" w:customStyle="1">
    <w:name w:val="2107"/>
    <w:basedOn w:val="680"/>
  </w:style>
  <w:style w:type="paragraph" w:styleId="690">
    <w:name w:val="Balloon Text"/>
    <w:basedOn w:val="679"/>
    <w:link w:val="6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1" w:customStyle="1">
    <w:name w:val="Текст выноски Знак"/>
    <w:basedOn w:val="680"/>
    <w:link w:val="690"/>
    <w:uiPriority w:val="99"/>
    <w:semiHidden/>
    <w:rPr>
      <w:rFonts w:ascii="Segoe UI" w:hAnsi="Segoe UI" w:cs="Segoe UI"/>
      <w:sz w:val="18"/>
      <w:szCs w:val="18"/>
    </w:rPr>
  </w:style>
  <w:style w:type="paragraph" w:styleId="692">
    <w:name w:val="Header"/>
    <w:basedOn w:val="679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80"/>
    <w:link w:val="692"/>
    <w:uiPriority w:val="99"/>
  </w:style>
  <w:style w:type="paragraph" w:styleId="694">
    <w:name w:val="Footer"/>
    <w:basedOn w:val="679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80"/>
    <w:link w:val="694"/>
    <w:uiPriority w:val="99"/>
  </w:style>
  <w:style w:type="paragraph" w:styleId="696">
    <w:name w:val="List Paragraph"/>
    <w:basedOn w:val="679"/>
    <w:uiPriority w:val="34"/>
    <w:qFormat/>
    <w:pPr>
      <w:contextualSpacing/>
      <w:ind w:left="720"/>
    </w:pPr>
    <w:rPr>
      <w14:ligatures w14:val="standardContextu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RLAW426&amp;n=85289&amp;dst=5" TargetMode="External"/><Relationship Id="rId11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RLAW426&amp;n=8709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Журомская Надежда Михайловна</dc:creator>
  <cp:keywords/>
  <dc:description/>
  <cp:revision>42</cp:revision>
  <dcterms:created xsi:type="dcterms:W3CDTF">2024-04-16T08:12:00Z</dcterms:created>
  <dcterms:modified xsi:type="dcterms:W3CDTF">2025-02-19T00:19:05Z</dcterms:modified>
</cp:coreProperties>
</file>